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text" w:horzAnchor="page" w:tblpXSpec="center" w:tblpY="-402"/>
        <w:tblW w:w="10908" w:type="dxa"/>
        <w:tblLayout w:type="fixed"/>
        <w:tblLook w:val="0000" w:firstRow="0" w:lastRow="0" w:firstColumn="0" w:lastColumn="0" w:noHBand="0" w:noVBand="0"/>
      </w:tblPr>
      <w:tblGrid>
        <w:gridCol w:w="1818"/>
        <w:gridCol w:w="4950"/>
        <w:gridCol w:w="4140"/>
      </w:tblGrid>
      <w:tr w:rsidR="006437EE" w14:paraId="1B6DCBA0" w14:textId="77777777">
        <w:trPr>
          <w:trHeight w:val="1010"/>
        </w:trPr>
        <w:tc>
          <w:tcPr>
            <w:tcW w:w="1818" w:type="dxa"/>
            <w:vMerge w:val="restart"/>
          </w:tcPr>
          <w:p w14:paraId="256B89C6" w14:textId="77777777" w:rsidR="006437EE" w:rsidRDefault="0053507C" w:rsidP="002221A9">
            <w:pPr>
              <w:tabs>
                <w:tab w:val="left" w:pos="1440"/>
              </w:tabs>
              <w:spacing w:before="120"/>
              <w:rPr>
                <w:rFonts w:ascii="Univers" w:hAnsi="Univers"/>
                <w:spacing w:val="-3"/>
                <w:sz w:val="24"/>
              </w:rPr>
            </w:pPr>
            <w:r w:rsidRPr="00A24991">
              <w:rPr>
                <w:rFonts w:ascii="Univers" w:hAnsi="Univers"/>
                <w:noProof/>
                <w:spacing w:val="-3"/>
                <w:sz w:val="24"/>
              </w:rPr>
              <w:drawing>
                <wp:inline distT="0" distB="0" distL="0" distR="0" wp14:anchorId="473A3621" wp14:editId="1F3B5F31">
                  <wp:extent cx="1019175" cy="990600"/>
                  <wp:effectExtent l="0" t="0" r="0" b="0"/>
                  <wp:docPr id="2" name="Picture 1" descr="D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eal"/>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inline>
              </w:drawing>
            </w:r>
          </w:p>
        </w:tc>
        <w:tc>
          <w:tcPr>
            <w:tcW w:w="9090" w:type="dxa"/>
            <w:gridSpan w:val="2"/>
            <w:tcBorders>
              <w:bottom w:val="single" w:sz="4" w:space="0" w:color="auto"/>
            </w:tcBorders>
            <w:vAlign w:val="bottom"/>
          </w:tcPr>
          <w:p w14:paraId="299139D6" w14:textId="77777777" w:rsidR="006437EE" w:rsidRDefault="006437EE" w:rsidP="002221A9">
            <w:pPr>
              <w:pStyle w:val="BodyText"/>
              <w:ind w:left="-101"/>
            </w:pPr>
            <w:r>
              <w:t>LOS ANGELES COUNTY DISTRICT ATTORNEY’S OFFICE</w:t>
            </w:r>
          </w:p>
          <w:p w14:paraId="43649677" w14:textId="77777777" w:rsidR="006437EE" w:rsidRDefault="006437EE" w:rsidP="002221A9">
            <w:pPr>
              <w:pStyle w:val="BodyText"/>
              <w:ind w:left="-101"/>
              <w:rPr>
                <w:sz w:val="26"/>
              </w:rPr>
            </w:pPr>
            <w:r>
              <w:rPr>
                <w:sz w:val="26"/>
              </w:rPr>
              <w:t>SACRAMENTO LEGISLATIVE OFFICE</w:t>
            </w:r>
          </w:p>
          <w:p w14:paraId="04ED3743" w14:textId="77777777" w:rsidR="00BD72AA" w:rsidRPr="00424FF2" w:rsidRDefault="00BD72AA" w:rsidP="00BD72AA">
            <w:pPr>
              <w:pStyle w:val="BodyText"/>
              <w:spacing w:line="120" w:lineRule="exact"/>
              <w:ind w:left="-101"/>
              <w:rPr>
                <w:caps/>
                <w:spacing w:val="-3"/>
                <w:sz w:val="26"/>
                <w:szCs w:val="26"/>
              </w:rPr>
            </w:pPr>
          </w:p>
        </w:tc>
      </w:tr>
      <w:tr w:rsidR="006437EE" w14:paraId="44977205" w14:textId="77777777">
        <w:trPr>
          <w:trHeight w:val="243"/>
        </w:trPr>
        <w:tc>
          <w:tcPr>
            <w:tcW w:w="1818" w:type="dxa"/>
            <w:vMerge/>
          </w:tcPr>
          <w:p w14:paraId="5E297B23" w14:textId="77777777" w:rsidR="006437EE" w:rsidRDefault="006437EE" w:rsidP="002221A9">
            <w:pPr>
              <w:tabs>
                <w:tab w:val="left" w:pos="1440"/>
              </w:tabs>
              <w:rPr>
                <w:rFonts w:ascii="Univers" w:hAnsi="Univers"/>
                <w:spacing w:val="-3"/>
                <w:sz w:val="24"/>
              </w:rPr>
            </w:pPr>
          </w:p>
        </w:tc>
        <w:tc>
          <w:tcPr>
            <w:tcW w:w="4950" w:type="dxa"/>
            <w:tcBorders>
              <w:top w:val="single" w:sz="4" w:space="0" w:color="auto"/>
            </w:tcBorders>
            <w:vAlign w:val="bottom"/>
          </w:tcPr>
          <w:p w14:paraId="7865C886" w14:textId="77777777" w:rsidR="006437EE" w:rsidRPr="00BD6A90" w:rsidRDefault="00334C0E" w:rsidP="002221A9">
            <w:pPr>
              <w:tabs>
                <w:tab w:val="left" w:pos="1440"/>
              </w:tabs>
              <w:spacing w:before="60"/>
              <w:ind w:left="-101"/>
              <w:rPr>
                <w:rFonts w:ascii="Univers" w:hAnsi="Univers"/>
                <w:spacing w:val="-3"/>
                <w:sz w:val="18"/>
                <w:szCs w:val="18"/>
              </w:rPr>
            </w:pPr>
            <w:r w:rsidRPr="00334C0E">
              <w:rPr>
                <w:rFonts w:ascii="Univers" w:hAnsi="Univers"/>
                <w:noProof/>
                <w:spacing w:val="-3"/>
                <w:sz w:val="18"/>
                <w:szCs w:val="18"/>
              </w:rPr>
              <w:t>JACKIE LACEY</w:t>
            </w:r>
            <w:r w:rsidR="00714B1F" w:rsidRPr="00714B1F">
              <w:rPr>
                <w:rFonts w:ascii="Univers" w:hAnsi="Univers"/>
                <w:noProof/>
                <w:spacing w:val="-3"/>
                <w:sz w:val="18"/>
                <w:szCs w:val="18"/>
              </w:rPr>
              <w:t xml:space="preserve"> </w:t>
            </w:r>
            <w:r w:rsidR="00714B1F" w:rsidRPr="00714B1F">
              <w:rPr>
                <w:rFonts w:ascii="Univers" w:hAnsi="Univers"/>
                <w:noProof/>
                <w:spacing w:val="-3"/>
                <w:sz w:val="18"/>
                <w:szCs w:val="18"/>
              </w:rPr>
              <w:sym w:font="Symbol" w:char="00B7"/>
            </w:r>
            <w:r w:rsidR="00714B1F" w:rsidRPr="00714B1F">
              <w:rPr>
                <w:rFonts w:ascii="Univers" w:hAnsi="Univers"/>
                <w:noProof/>
                <w:spacing w:val="-3"/>
                <w:sz w:val="18"/>
                <w:szCs w:val="18"/>
              </w:rPr>
              <w:t xml:space="preserve"> </w:t>
            </w:r>
            <w:r w:rsidR="006437EE">
              <w:rPr>
                <w:rFonts w:ascii="Univers" w:hAnsi="Univers"/>
                <w:noProof/>
                <w:spacing w:val="-3"/>
                <w:sz w:val="18"/>
                <w:szCs w:val="18"/>
              </w:rPr>
              <w:t>District Attorney</w:t>
            </w:r>
            <w:r w:rsidR="006437EE" w:rsidRPr="00BD6A90">
              <w:rPr>
                <w:rFonts w:ascii="Univers" w:hAnsi="Univers"/>
                <w:spacing w:val="-3"/>
                <w:sz w:val="18"/>
                <w:szCs w:val="18"/>
              </w:rPr>
              <w:t xml:space="preserve"> </w:t>
            </w:r>
          </w:p>
        </w:tc>
        <w:tc>
          <w:tcPr>
            <w:tcW w:w="4140" w:type="dxa"/>
            <w:tcBorders>
              <w:top w:val="single" w:sz="4" w:space="0" w:color="auto"/>
            </w:tcBorders>
            <w:vAlign w:val="bottom"/>
          </w:tcPr>
          <w:p w14:paraId="73CAC293" w14:textId="77777777" w:rsidR="00914E9C" w:rsidRPr="00914E9C" w:rsidRDefault="006437EE" w:rsidP="00914E9C">
            <w:pPr>
              <w:tabs>
                <w:tab w:val="right" w:pos="3852"/>
              </w:tabs>
              <w:ind w:right="-198"/>
              <w:rPr>
                <w:rFonts w:ascii="Univers" w:hAnsi="Univers"/>
                <w:spacing w:val="-3"/>
                <w:sz w:val="18"/>
              </w:rPr>
            </w:pPr>
            <w:r>
              <w:rPr>
                <w:rFonts w:ascii="Univers" w:hAnsi="Univers"/>
                <w:spacing w:val="-3"/>
                <w:sz w:val="18"/>
                <w:szCs w:val="18"/>
              </w:rPr>
              <w:tab/>
            </w:r>
            <w:r w:rsidR="00AA7A3D">
              <w:rPr>
                <w:rFonts w:ascii="Univers" w:hAnsi="Univers"/>
                <w:spacing w:val="-3"/>
                <w:sz w:val="18"/>
              </w:rPr>
              <w:t xml:space="preserve"> DANIEL FELIZZATTO </w:t>
            </w:r>
            <w:r w:rsidR="00AA7A3D">
              <w:rPr>
                <w:rFonts w:ascii="Univers" w:hAnsi="Univers"/>
                <w:spacing w:val="-3"/>
                <w:sz w:val="18"/>
              </w:rPr>
              <w:sym w:font="Symbol" w:char="F0B7"/>
            </w:r>
            <w:r w:rsidR="00AA7A3D">
              <w:rPr>
                <w:rFonts w:ascii="Univers" w:hAnsi="Univers"/>
                <w:spacing w:val="-3"/>
                <w:sz w:val="18"/>
              </w:rPr>
              <w:t xml:space="preserve"> </w:t>
            </w:r>
            <w:r w:rsidR="00914E9C">
              <w:rPr>
                <w:rFonts w:ascii="Univers" w:hAnsi="Univers"/>
                <w:spacing w:val="-3"/>
                <w:sz w:val="18"/>
              </w:rPr>
              <w:t>Legislative Advocate</w:t>
            </w:r>
          </w:p>
        </w:tc>
      </w:tr>
      <w:tr w:rsidR="006437EE" w14:paraId="3EA7DA32" w14:textId="77777777">
        <w:trPr>
          <w:trHeight w:hRule="exact" w:val="216"/>
        </w:trPr>
        <w:tc>
          <w:tcPr>
            <w:tcW w:w="1818" w:type="dxa"/>
            <w:vMerge/>
          </w:tcPr>
          <w:p w14:paraId="00FE03F6" w14:textId="77777777" w:rsidR="006437EE" w:rsidRDefault="006437EE" w:rsidP="002221A9">
            <w:pPr>
              <w:tabs>
                <w:tab w:val="left" w:pos="1440"/>
              </w:tabs>
              <w:rPr>
                <w:rFonts w:ascii="Univers" w:hAnsi="Univers"/>
                <w:spacing w:val="-3"/>
                <w:sz w:val="24"/>
              </w:rPr>
            </w:pPr>
          </w:p>
        </w:tc>
        <w:tc>
          <w:tcPr>
            <w:tcW w:w="4950" w:type="dxa"/>
            <w:vAlign w:val="bottom"/>
          </w:tcPr>
          <w:p w14:paraId="2BEA9530" w14:textId="77777777" w:rsidR="006437EE" w:rsidRPr="00BD6A90" w:rsidRDefault="00E31342" w:rsidP="00E31342">
            <w:pPr>
              <w:tabs>
                <w:tab w:val="left" w:pos="1440"/>
              </w:tabs>
              <w:ind w:left="-101"/>
              <w:rPr>
                <w:rFonts w:ascii="Univers" w:hAnsi="Univers"/>
                <w:spacing w:val="-3"/>
                <w:sz w:val="18"/>
                <w:szCs w:val="18"/>
              </w:rPr>
            </w:pPr>
            <w:r>
              <w:rPr>
                <w:rFonts w:ascii="Univers" w:hAnsi="Univers"/>
                <w:noProof/>
                <w:spacing w:val="-3"/>
                <w:sz w:val="18"/>
                <w:szCs w:val="18"/>
              </w:rPr>
              <w:t>JOSEPH P. ESPOSITO</w:t>
            </w:r>
            <w:r>
              <w:rPr>
                <w:rFonts w:ascii="Univers" w:hAnsi="Univers"/>
                <w:spacing w:val="-3"/>
                <w:sz w:val="18"/>
              </w:rPr>
              <w:t xml:space="preserve"> </w:t>
            </w:r>
            <w:r w:rsidR="00714B1F">
              <w:rPr>
                <w:rFonts w:ascii="Univers" w:hAnsi="Univers"/>
                <w:spacing w:val="-3"/>
                <w:sz w:val="18"/>
              </w:rPr>
              <w:sym w:font="Symbol" w:char="00B7"/>
            </w:r>
            <w:r w:rsidR="00714B1F">
              <w:rPr>
                <w:rFonts w:ascii="Univers" w:hAnsi="Univers"/>
                <w:spacing w:val="-3"/>
                <w:sz w:val="18"/>
              </w:rPr>
              <w:t xml:space="preserve"> </w:t>
            </w:r>
            <w:r w:rsidR="006437EE">
              <w:rPr>
                <w:rFonts w:ascii="Univers" w:hAnsi="Univers"/>
                <w:noProof/>
                <w:spacing w:val="-3"/>
                <w:sz w:val="18"/>
                <w:szCs w:val="18"/>
              </w:rPr>
              <w:t>Chief Deputy District Attorney</w:t>
            </w:r>
            <w:r w:rsidR="006437EE" w:rsidRPr="00BD6A90">
              <w:rPr>
                <w:rFonts w:ascii="Univers" w:hAnsi="Univers"/>
                <w:spacing w:val="-3"/>
                <w:sz w:val="18"/>
                <w:szCs w:val="18"/>
              </w:rPr>
              <w:t xml:space="preserve"> </w:t>
            </w:r>
          </w:p>
        </w:tc>
        <w:tc>
          <w:tcPr>
            <w:tcW w:w="4140" w:type="dxa"/>
            <w:vAlign w:val="bottom"/>
          </w:tcPr>
          <w:p w14:paraId="616A1B58" w14:textId="77777777" w:rsidR="006437EE" w:rsidRPr="00BD6A90" w:rsidRDefault="000C6EEC" w:rsidP="000F0477">
            <w:pPr>
              <w:tabs>
                <w:tab w:val="right" w:pos="3852"/>
              </w:tabs>
              <w:ind w:right="-198"/>
              <w:rPr>
                <w:rFonts w:ascii="Univers" w:hAnsi="Univers"/>
                <w:spacing w:val="-3"/>
                <w:sz w:val="18"/>
                <w:szCs w:val="18"/>
              </w:rPr>
            </w:pPr>
            <w:r>
              <w:rPr>
                <w:rFonts w:ascii="Univers" w:hAnsi="Univers"/>
                <w:spacing w:val="-3"/>
                <w:sz w:val="18"/>
                <w:szCs w:val="18"/>
              </w:rPr>
              <w:tab/>
              <w:t>TAMAR TOKAT</w:t>
            </w:r>
            <w:r w:rsidR="000F0477">
              <w:rPr>
                <w:rFonts w:ascii="Univers" w:hAnsi="Univers"/>
                <w:spacing w:val="-3"/>
                <w:sz w:val="18"/>
              </w:rPr>
              <w:t xml:space="preserve"> </w:t>
            </w:r>
            <w:r w:rsidR="000F0477">
              <w:rPr>
                <w:rFonts w:ascii="Univers" w:hAnsi="Univers"/>
                <w:spacing w:val="-3"/>
                <w:sz w:val="18"/>
              </w:rPr>
              <w:sym w:font="Symbol" w:char="F0B7"/>
            </w:r>
            <w:r w:rsidR="000F0477">
              <w:rPr>
                <w:rFonts w:ascii="Univers" w:hAnsi="Univers"/>
                <w:spacing w:val="-3"/>
                <w:sz w:val="18"/>
              </w:rPr>
              <w:t xml:space="preserve"> Legislative Advocate</w:t>
            </w:r>
            <w:r w:rsidR="00944EA7">
              <w:rPr>
                <w:rFonts w:ascii="Univers" w:hAnsi="Univers"/>
                <w:spacing w:val="-3"/>
                <w:sz w:val="18"/>
                <w:szCs w:val="18"/>
              </w:rPr>
              <w:tab/>
            </w:r>
          </w:p>
        </w:tc>
      </w:tr>
      <w:tr w:rsidR="006437EE" w14:paraId="71F100EB" w14:textId="77777777">
        <w:trPr>
          <w:trHeight w:hRule="exact" w:val="216"/>
        </w:trPr>
        <w:tc>
          <w:tcPr>
            <w:tcW w:w="1818" w:type="dxa"/>
            <w:vMerge/>
          </w:tcPr>
          <w:p w14:paraId="486A7C71" w14:textId="77777777" w:rsidR="006437EE" w:rsidRDefault="006437EE" w:rsidP="002221A9">
            <w:pPr>
              <w:tabs>
                <w:tab w:val="left" w:pos="1440"/>
              </w:tabs>
              <w:rPr>
                <w:rFonts w:ascii="Univers" w:hAnsi="Univers"/>
                <w:spacing w:val="-3"/>
                <w:sz w:val="24"/>
              </w:rPr>
            </w:pPr>
          </w:p>
        </w:tc>
        <w:tc>
          <w:tcPr>
            <w:tcW w:w="4950" w:type="dxa"/>
            <w:vAlign w:val="bottom"/>
          </w:tcPr>
          <w:p w14:paraId="3834D172" w14:textId="77777777" w:rsidR="006437EE" w:rsidRPr="00BD6A90" w:rsidRDefault="006437EE" w:rsidP="002221A9">
            <w:pPr>
              <w:tabs>
                <w:tab w:val="left" w:pos="1440"/>
              </w:tabs>
              <w:ind w:left="-101"/>
              <w:rPr>
                <w:rFonts w:ascii="Univers" w:hAnsi="Univers"/>
                <w:spacing w:val="-3"/>
                <w:sz w:val="18"/>
                <w:szCs w:val="18"/>
              </w:rPr>
            </w:pPr>
          </w:p>
        </w:tc>
        <w:tc>
          <w:tcPr>
            <w:tcW w:w="4140" w:type="dxa"/>
            <w:vAlign w:val="bottom"/>
          </w:tcPr>
          <w:p w14:paraId="5D53C673" w14:textId="77777777" w:rsidR="006437EE" w:rsidRPr="00BD6A90" w:rsidRDefault="006437EE" w:rsidP="002221A9">
            <w:pPr>
              <w:tabs>
                <w:tab w:val="right" w:pos="3852"/>
              </w:tabs>
              <w:ind w:right="-198"/>
              <w:rPr>
                <w:rFonts w:ascii="Univers" w:hAnsi="Univers"/>
                <w:spacing w:val="-3"/>
                <w:sz w:val="18"/>
                <w:szCs w:val="18"/>
              </w:rPr>
            </w:pPr>
          </w:p>
        </w:tc>
      </w:tr>
    </w:tbl>
    <w:p w14:paraId="45BD1ABA" w14:textId="77777777" w:rsidR="000D2960" w:rsidRDefault="000D2960">
      <w:pPr>
        <w:sectPr w:rsidR="000D2960" w:rsidSect="000D2960">
          <w:footerReference w:type="default" r:id="rId7"/>
          <w:pgSz w:w="12240" w:h="15840" w:code="1"/>
          <w:pgMar w:top="1440" w:right="720" w:bottom="1440" w:left="1440" w:header="720" w:footer="360" w:gutter="0"/>
          <w:cols w:space="720"/>
          <w:docGrid w:linePitch="360"/>
        </w:sectPr>
      </w:pPr>
    </w:p>
    <w:p w14:paraId="02B72605" w14:textId="3934DF70" w:rsidR="00A37E15" w:rsidRPr="00D425BE" w:rsidRDefault="00707203" w:rsidP="00707203">
      <w:pPr>
        <w:autoSpaceDE w:val="0"/>
        <w:autoSpaceDN w:val="0"/>
        <w:adjustRightInd w:val="0"/>
        <w:rPr>
          <w:rFonts w:ascii="Century Gothic" w:hAnsi="Century Gothic"/>
          <w:color w:val="000000"/>
          <w:sz w:val="24"/>
          <w:szCs w:val="24"/>
        </w:rPr>
      </w:pPr>
      <w:bookmarkStart w:id="0" w:name="_GoBack"/>
      <w:bookmarkEnd w:id="0"/>
      <w:r w:rsidRPr="00D425BE">
        <w:rPr>
          <w:rFonts w:ascii="Century Gothic" w:hAnsi="Century Gothic"/>
          <w:color w:val="000000"/>
          <w:sz w:val="24"/>
          <w:szCs w:val="24"/>
        </w:rPr>
        <w:t>September 1, 2020</w:t>
      </w:r>
    </w:p>
    <w:p w14:paraId="3C6CB124" w14:textId="187CB860" w:rsidR="00707203" w:rsidRDefault="00707203" w:rsidP="00707203">
      <w:pPr>
        <w:autoSpaceDE w:val="0"/>
        <w:autoSpaceDN w:val="0"/>
        <w:adjustRightInd w:val="0"/>
        <w:rPr>
          <w:rFonts w:ascii="Century Gothic" w:hAnsi="Century Gothic"/>
          <w:color w:val="000000"/>
          <w:sz w:val="24"/>
          <w:szCs w:val="24"/>
        </w:rPr>
      </w:pPr>
    </w:p>
    <w:p w14:paraId="03B9F5FF" w14:textId="77777777" w:rsidR="00D425BE" w:rsidRPr="00D425BE" w:rsidRDefault="00D425BE" w:rsidP="00707203">
      <w:pPr>
        <w:autoSpaceDE w:val="0"/>
        <w:autoSpaceDN w:val="0"/>
        <w:adjustRightInd w:val="0"/>
        <w:rPr>
          <w:rFonts w:ascii="Century Gothic" w:hAnsi="Century Gothic"/>
          <w:color w:val="000000"/>
          <w:sz w:val="24"/>
          <w:szCs w:val="24"/>
        </w:rPr>
      </w:pPr>
    </w:p>
    <w:p w14:paraId="7BD3EFD2" w14:textId="77777777" w:rsidR="00707203" w:rsidRPr="00D425BE" w:rsidRDefault="00707203" w:rsidP="00707203">
      <w:pPr>
        <w:rPr>
          <w:rFonts w:ascii="Century Gothic" w:hAnsi="Century Gothic"/>
          <w:sz w:val="24"/>
          <w:szCs w:val="24"/>
        </w:rPr>
      </w:pPr>
      <w:r w:rsidRPr="00D425BE">
        <w:rPr>
          <w:rFonts w:ascii="Century Gothic" w:hAnsi="Century Gothic"/>
          <w:sz w:val="24"/>
          <w:szCs w:val="24"/>
        </w:rPr>
        <w:t>The Honorable Gavin Newsom</w:t>
      </w:r>
    </w:p>
    <w:p w14:paraId="0CA44C3E" w14:textId="77777777" w:rsidR="00707203" w:rsidRPr="00D425BE" w:rsidRDefault="00707203" w:rsidP="00707203">
      <w:pPr>
        <w:rPr>
          <w:rFonts w:ascii="Century Gothic" w:hAnsi="Century Gothic"/>
          <w:sz w:val="24"/>
          <w:szCs w:val="24"/>
        </w:rPr>
      </w:pPr>
      <w:r w:rsidRPr="00D425BE">
        <w:rPr>
          <w:rFonts w:ascii="Century Gothic" w:hAnsi="Century Gothic"/>
          <w:sz w:val="24"/>
          <w:szCs w:val="24"/>
        </w:rPr>
        <w:t>Governor, State of California</w:t>
      </w:r>
    </w:p>
    <w:p w14:paraId="160DB13B" w14:textId="77777777" w:rsidR="00707203" w:rsidRPr="00D425BE" w:rsidRDefault="00707203" w:rsidP="00707203">
      <w:pPr>
        <w:rPr>
          <w:rFonts w:ascii="Century Gothic" w:hAnsi="Century Gothic"/>
          <w:sz w:val="24"/>
          <w:szCs w:val="24"/>
        </w:rPr>
      </w:pPr>
      <w:r w:rsidRPr="00D425BE">
        <w:rPr>
          <w:rFonts w:ascii="Century Gothic" w:hAnsi="Century Gothic"/>
          <w:sz w:val="24"/>
          <w:szCs w:val="24"/>
        </w:rPr>
        <w:t>State Capitol</w:t>
      </w:r>
    </w:p>
    <w:p w14:paraId="2654DB95" w14:textId="77777777" w:rsidR="00707203" w:rsidRPr="00D425BE" w:rsidRDefault="00707203" w:rsidP="00707203">
      <w:pPr>
        <w:rPr>
          <w:rFonts w:ascii="Century Gothic" w:hAnsi="Century Gothic"/>
          <w:sz w:val="24"/>
          <w:szCs w:val="24"/>
        </w:rPr>
      </w:pPr>
      <w:r w:rsidRPr="00D425BE">
        <w:rPr>
          <w:rFonts w:ascii="Century Gothic" w:hAnsi="Century Gothic"/>
          <w:sz w:val="24"/>
          <w:szCs w:val="24"/>
        </w:rPr>
        <w:t>Sacramento, CA 95814</w:t>
      </w:r>
    </w:p>
    <w:p w14:paraId="2078B0FB" w14:textId="77777777" w:rsidR="00707203" w:rsidRPr="00D425BE" w:rsidRDefault="00707203" w:rsidP="00707203">
      <w:pPr>
        <w:rPr>
          <w:rFonts w:ascii="Century Gothic" w:hAnsi="Century Gothic"/>
          <w:sz w:val="24"/>
          <w:szCs w:val="24"/>
        </w:rPr>
      </w:pPr>
    </w:p>
    <w:p w14:paraId="512A5C75" w14:textId="73306C64" w:rsidR="00707203" w:rsidRPr="00D425BE" w:rsidRDefault="00707203" w:rsidP="00707203">
      <w:pPr>
        <w:jc w:val="center"/>
        <w:rPr>
          <w:rFonts w:ascii="Century Gothic" w:hAnsi="Century Gothic"/>
          <w:b/>
          <w:sz w:val="24"/>
          <w:szCs w:val="24"/>
        </w:rPr>
      </w:pPr>
      <w:r w:rsidRPr="00D425BE">
        <w:rPr>
          <w:rFonts w:ascii="Century Gothic" w:hAnsi="Century Gothic"/>
          <w:b/>
          <w:sz w:val="24"/>
          <w:szCs w:val="24"/>
        </w:rPr>
        <w:t>SENATE BILL 145 (WIENER)</w:t>
      </w:r>
    </w:p>
    <w:p w14:paraId="6129D516" w14:textId="62B21A09" w:rsidR="00707203" w:rsidRPr="00D425BE" w:rsidRDefault="00707203" w:rsidP="00707203">
      <w:pPr>
        <w:jc w:val="center"/>
        <w:rPr>
          <w:rFonts w:ascii="Century Gothic" w:hAnsi="Century Gothic"/>
          <w:b/>
          <w:sz w:val="24"/>
          <w:szCs w:val="24"/>
        </w:rPr>
      </w:pPr>
      <w:r w:rsidRPr="00D425BE">
        <w:rPr>
          <w:rFonts w:ascii="Century Gothic" w:hAnsi="Century Gothic"/>
          <w:b/>
          <w:sz w:val="24"/>
          <w:szCs w:val="24"/>
        </w:rPr>
        <w:t>CO-SPONSOR</w:t>
      </w:r>
    </w:p>
    <w:p w14:paraId="1CE08C01" w14:textId="77777777" w:rsidR="00707203" w:rsidRPr="00D425BE" w:rsidRDefault="00707203" w:rsidP="00707203">
      <w:pPr>
        <w:jc w:val="center"/>
        <w:rPr>
          <w:rFonts w:ascii="Century Gothic" w:hAnsi="Century Gothic"/>
          <w:b/>
          <w:caps/>
          <w:sz w:val="24"/>
          <w:szCs w:val="24"/>
        </w:rPr>
      </w:pPr>
      <w:r w:rsidRPr="00D425BE">
        <w:rPr>
          <w:rFonts w:ascii="Century Gothic" w:hAnsi="Century Gothic"/>
          <w:b/>
          <w:caps/>
          <w:sz w:val="24"/>
          <w:szCs w:val="24"/>
        </w:rPr>
        <w:t>Request for Signature</w:t>
      </w:r>
    </w:p>
    <w:p w14:paraId="6D67C220" w14:textId="77777777" w:rsidR="00707203" w:rsidRPr="00D425BE" w:rsidRDefault="00707203" w:rsidP="00707203">
      <w:pPr>
        <w:rPr>
          <w:rFonts w:ascii="Century Gothic" w:hAnsi="Century Gothic"/>
          <w:sz w:val="24"/>
          <w:szCs w:val="24"/>
        </w:rPr>
      </w:pPr>
    </w:p>
    <w:p w14:paraId="408F3591" w14:textId="77777777" w:rsidR="00707203" w:rsidRPr="00D425BE" w:rsidRDefault="00707203" w:rsidP="00707203">
      <w:pPr>
        <w:rPr>
          <w:rFonts w:ascii="Century Gothic" w:hAnsi="Century Gothic"/>
          <w:sz w:val="24"/>
          <w:szCs w:val="24"/>
        </w:rPr>
      </w:pPr>
      <w:r w:rsidRPr="00D425BE">
        <w:rPr>
          <w:rFonts w:ascii="Century Gothic" w:hAnsi="Century Gothic"/>
          <w:sz w:val="24"/>
          <w:szCs w:val="24"/>
        </w:rPr>
        <w:t>Dear Governor Newsom:</w:t>
      </w:r>
    </w:p>
    <w:p w14:paraId="5106E3E6" w14:textId="77777777" w:rsidR="00707203" w:rsidRPr="00D425BE" w:rsidRDefault="00707203" w:rsidP="00707203">
      <w:pPr>
        <w:rPr>
          <w:rFonts w:ascii="Century Gothic" w:hAnsi="Century Gothic"/>
          <w:sz w:val="24"/>
          <w:szCs w:val="24"/>
        </w:rPr>
      </w:pPr>
    </w:p>
    <w:p w14:paraId="1061E1CC" w14:textId="6A7B8166" w:rsidR="00707203" w:rsidRPr="00D425BE" w:rsidRDefault="00707203" w:rsidP="00707203">
      <w:pPr>
        <w:rPr>
          <w:rFonts w:ascii="Century Gothic" w:hAnsi="Century Gothic"/>
          <w:sz w:val="24"/>
          <w:szCs w:val="24"/>
        </w:rPr>
      </w:pPr>
      <w:r w:rsidRPr="00D425BE">
        <w:rPr>
          <w:rFonts w:ascii="Century Gothic" w:hAnsi="Century Gothic"/>
          <w:sz w:val="24"/>
          <w:szCs w:val="24"/>
        </w:rPr>
        <w:t>The Los Angeles County District Attorney’s respectfully requests that you sign Senate Bill 145 (Wiener) which we are pleased to co-sponsor with Equality California.</w:t>
      </w:r>
    </w:p>
    <w:p w14:paraId="1F2011A7" w14:textId="27D474A0" w:rsidR="00707203" w:rsidRPr="00D425BE" w:rsidRDefault="00707203" w:rsidP="00707203">
      <w:pPr>
        <w:rPr>
          <w:rFonts w:ascii="Century Gothic" w:hAnsi="Century Gothic"/>
          <w:sz w:val="24"/>
          <w:szCs w:val="24"/>
        </w:rPr>
      </w:pPr>
    </w:p>
    <w:p w14:paraId="1A37F1D4" w14:textId="113F748C" w:rsidR="00707203" w:rsidRPr="00D425BE" w:rsidRDefault="00707203" w:rsidP="00707203">
      <w:pPr>
        <w:rPr>
          <w:rFonts w:ascii="Century Gothic" w:hAnsi="Century Gothic"/>
          <w:color w:val="000000"/>
          <w:sz w:val="24"/>
          <w:szCs w:val="24"/>
        </w:rPr>
      </w:pPr>
      <w:r w:rsidRPr="00D425BE">
        <w:rPr>
          <w:rFonts w:ascii="Century Gothic" w:hAnsi="Century Gothic"/>
          <w:color w:val="000000"/>
          <w:sz w:val="24"/>
          <w:szCs w:val="24"/>
        </w:rPr>
        <w:t xml:space="preserve">Under current law, there are several non-forcible, “consensual” sexual offenses involving minors that require mandatory sex offender registration.  These cases involve minors who are having a sexual relationship with someone over age 18.   Although minors cannot legally consent to sexual activity, the cases are viewed as “consensual” or “voluntary” because the sexual activity is not forced, and the minor is a willing participant.   </w:t>
      </w:r>
    </w:p>
    <w:p w14:paraId="6F450C02" w14:textId="4A66C659" w:rsidR="00707203" w:rsidRPr="00D425BE" w:rsidRDefault="00707203" w:rsidP="00707203">
      <w:pPr>
        <w:rPr>
          <w:rFonts w:ascii="Century Gothic" w:hAnsi="Century Gothic"/>
          <w:color w:val="000000"/>
          <w:sz w:val="24"/>
          <w:szCs w:val="24"/>
        </w:rPr>
      </w:pPr>
    </w:p>
    <w:p w14:paraId="40D98A09" w14:textId="01CF610A" w:rsidR="00F47615" w:rsidRPr="00D425BE" w:rsidRDefault="00707203" w:rsidP="00F47615">
      <w:pPr>
        <w:rPr>
          <w:rFonts w:ascii="Century Gothic" w:hAnsi="Century Gothic"/>
          <w:color w:val="000000"/>
          <w:sz w:val="24"/>
          <w:szCs w:val="24"/>
        </w:rPr>
      </w:pPr>
      <w:r w:rsidRPr="00D425BE">
        <w:rPr>
          <w:rFonts w:ascii="Century Gothic" w:hAnsi="Century Gothic"/>
          <w:color w:val="000000"/>
          <w:sz w:val="24"/>
          <w:szCs w:val="24"/>
        </w:rPr>
        <w:t>However current law does not treat all voluntary sex acts between a minor and a person over the age of 18 the same.</w:t>
      </w:r>
      <w:r w:rsidR="00F47615" w:rsidRPr="00D425BE">
        <w:rPr>
          <w:rFonts w:ascii="Century Gothic" w:hAnsi="Century Gothic"/>
          <w:color w:val="000000"/>
          <w:sz w:val="24"/>
          <w:szCs w:val="24"/>
        </w:rPr>
        <w:t xml:space="preserve">  There are separate sex offender registration rules for consensual intercourse and consensual acts of oral copulation, sodomy, sexual penetration.  A consensual act of intercourse does not, nor had it ever, required mandatory sex offender registration.  In cases of sexual intercourse sex offender registration has always been discretionary.  This differential treatment has a direct discriminatory effect for people in same sex relationships.  </w:t>
      </w:r>
      <w:r w:rsidR="00F47615" w:rsidRPr="00D425BE">
        <w:rPr>
          <w:rFonts w:ascii="Century Gothic" w:hAnsi="Century Gothic"/>
          <w:sz w:val="24"/>
          <w:szCs w:val="24"/>
        </w:rPr>
        <w:t xml:space="preserve">For example, if a 19-year-old male in a romantic relationship with a 17-year-old male were to be prosecuted for sodomy or oral copulation with a person under 18, he would be required to register as a sex offender. However, a 24-year-old male who had vaginal intercourse with a 15-year-old girl and impregnated her is not required to register.  </w:t>
      </w:r>
    </w:p>
    <w:p w14:paraId="63D4139B" w14:textId="749148F8" w:rsidR="00707203" w:rsidRPr="00D425BE" w:rsidRDefault="00707203" w:rsidP="00707203">
      <w:pPr>
        <w:rPr>
          <w:rFonts w:ascii="Century Gothic" w:hAnsi="Century Gothic"/>
          <w:color w:val="000000"/>
          <w:sz w:val="24"/>
          <w:szCs w:val="24"/>
        </w:rPr>
      </w:pPr>
    </w:p>
    <w:p w14:paraId="7CF13188" w14:textId="77777777" w:rsidR="00D425BE" w:rsidRPr="00D425BE" w:rsidRDefault="00D425BE" w:rsidP="00707203">
      <w:pPr>
        <w:rPr>
          <w:rFonts w:ascii="Century Gothic" w:hAnsi="Century Gothic"/>
          <w:b/>
          <w:bCs/>
          <w:color w:val="000000"/>
          <w:sz w:val="24"/>
          <w:szCs w:val="24"/>
        </w:rPr>
      </w:pPr>
      <w:r w:rsidRPr="00D425BE">
        <w:rPr>
          <w:rFonts w:ascii="Century Gothic" w:hAnsi="Century Gothic"/>
          <w:b/>
          <w:bCs/>
          <w:color w:val="000000"/>
          <w:sz w:val="24"/>
          <w:szCs w:val="24"/>
        </w:rPr>
        <w:lastRenderedPageBreak/>
        <w:t>September 1, 2020</w:t>
      </w:r>
    </w:p>
    <w:p w14:paraId="48543E6E" w14:textId="77777777" w:rsidR="00D425BE" w:rsidRPr="00D425BE" w:rsidRDefault="00D425BE" w:rsidP="00707203">
      <w:pPr>
        <w:rPr>
          <w:rFonts w:ascii="Century Gothic" w:hAnsi="Century Gothic"/>
          <w:b/>
          <w:bCs/>
          <w:color w:val="000000"/>
          <w:sz w:val="24"/>
          <w:szCs w:val="24"/>
        </w:rPr>
      </w:pPr>
      <w:r w:rsidRPr="00D425BE">
        <w:rPr>
          <w:rFonts w:ascii="Century Gothic" w:hAnsi="Century Gothic"/>
          <w:b/>
          <w:bCs/>
          <w:color w:val="000000"/>
          <w:sz w:val="24"/>
          <w:szCs w:val="24"/>
        </w:rPr>
        <w:t>Page Two</w:t>
      </w:r>
    </w:p>
    <w:p w14:paraId="0C7343A0" w14:textId="77777777" w:rsidR="00D425BE" w:rsidRDefault="00D425BE" w:rsidP="00707203">
      <w:pPr>
        <w:rPr>
          <w:rFonts w:ascii="Century Gothic" w:hAnsi="Century Gothic"/>
          <w:color w:val="000000"/>
          <w:sz w:val="24"/>
          <w:szCs w:val="24"/>
        </w:rPr>
      </w:pPr>
    </w:p>
    <w:p w14:paraId="6D4BF3D9" w14:textId="62EBD5BB" w:rsidR="00707203" w:rsidRPr="00D425BE" w:rsidRDefault="00707203" w:rsidP="00707203">
      <w:pPr>
        <w:rPr>
          <w:rFonts w:ascii="Century Gothic" w:hAnsi="Century Gothic"/>
          <w:color w:val="000000"/>
          <w:sz w:val="24"/>
          <w:szCs w:val="24"/>
        </w:rPr>
      </w:pPr>
      <w:r w:rsidRPr="00D425BE">
        <w:rPr>
          <w:rFonts w:ascii="Century Gothic" w:hAnsi="Century Gothic"/>
          <w:color w:val="000000"/>
          <w:sz w:val="24"/>
          <w:szCs w:val="24"/>
        </w:rPr>
        <w:t xml:space="preserve">The California Supreme Court and Appellate Courts had previously found that mandatory registration violated equal protection laws under these circumstances.  In </w:t>
      </w:r>
      <w:r w:rsidRPr="00D425BE">
        <w:rPr>
          <w:rFonts w:ascii="Century Gothic" w:hAnsi="Century Gothic"/>
          <w:bCs/>
          <w:i/>
          <w:iCs/>
          <w:color w:val="000000"/>
          <w:sz w:val="24"/>
          <w:szCs w:val="24"/>
        </w:rPr>
        <w:t>People v. Hofsheier ((2006) 37 Cal.4</w:t>
      </w:r>
      <w:r w:rsidRPr="00D425BE">
        <w:rPr>
          <w:rFonts w:ascii="Century Gothic" w:hAnsi="Century Gothic"/>
          <w:bCs/>
          <w:i/>
          <w:iCs/>
          <w:color w:val="000000"/>
          <w:sz w:val="24"/>
          <w:szCs w:val="24"/>
          <w:vertAlign w:val="superscript"/>
        </w:rPr>
        <w:t>th</w:t>
      </w:r>
      <w:r w:rsidRPr="00D425BE">
        <w:rPr>
          <w:rFonts w:ascii="Century Gothic" w:hAnsi="Century Gothic"/>
          <w:bCs/>
          <w:i/>
          <w:iCs/>
          <w:color w:val="000000"/>
          <w:sz w:val="24"/>
          <w:szCs w:val="24"/>
        </w:rPr>
        <w:t xml:space="preserve"> 1185.),</w:t>
      </w:r>
      <w:r w:rsidRPr="00D425BE">
        <w:rPr>
          <w:rFonts w:ascii="Century Gothic" w:hAnsi="Century Gothic"/>
          <w:color w:val="000000"/>
          <w:sz w:val="24"/>
          <w:szCs w:val="24"/>
        </w:rPr>
        <w:t xml:space="preserve"> the California Supreme Court ruled that mandatory sex offender registration pursuant to Penal Code 290 for a violation of 288a(b)(1) was unconstitutional.  In </w:t>
      </w:r>
      <w:r w:rsidRPr="00D425BE">
        <w:rPr>
          <w:rFonts w:ascii="Century Gothic" w:hAnsi="Century Gothic"/>
          <w:i/>
          <w:iCs/>
          <w:color w:val="000000"/>
          <w:sz w:val="24"/>
          <w:szCs w:val="24"/>
        </w:rPr>
        <w:t>Hofsheier</w:t>
      </w:r>
      <w:r w:rsidRPr="00D425BE">
        <w:rPr>
          <w:rFonts w:ascii="Century Gothic" w:hAnsi="Century Gothic"/>
          <w:color w:val="000000"/>
          <w:sz w:val="24"/>
          <w:szCs w:val="24"/>
        </w:rPr>
        <w:t xml:space="preserve">, the defendant at the time was 22 years old when he committed a violation of Penal Code Section 288a(b)(1), oral copulation with a minor, who was 16 years old.  The </w:t>
      </w:r>
      <w:r w:rsidRPr="00D425BE">
        <w:rPr>
          <w:rFonts w:ascii="Century Gothic" w:hAnsi="Century Gothic"/>
          <w:i/>
          <w:iCs/>
          <w:color w:val="000000"/>
          <w:sz w:val="24"/>
          <w:szCs w:val="24"/>
        </w:rPr>
        <w:t>Hofsheier</w:t>
      </w:r>
      <w:r w:rsidRPr="00D425BE">
        <w:rPr>
          <w:rFonts w:ascii="Century Gothic" w:hAnsi="Century Gothic"/>
          <w:color w:val="000000"/>
          <w:sz w:val="24"/>
          <w:szCs w:val="24"/>
        </w:rPr>
        <w:t xml:space="preserve"> court noted that if the Defendant had been convicted of Penal Code Section 261.5, unlawful sexual intercourse with a minor, he would not have been subjected to mandatory lifetime sex offender registration.  Using the rational basis test, the California Supreme Court determined that there was no rational basis for treating convicted offenders of 288a(b)(1) differently that those convicted of 261.5. Following the </w:t>
      </w:r>
      <w:r w:rsidRPr="00D425BE">
        <w:rPr>
          <w:rFonts w:ascii="Century Gothic" w:hAnsi="Century Gothic"/>
          <w:i/>
          <w:color w:val="000000"/>
          <w:sz w:val="24"/>
          <w:szCs w:val="24"/>
        </w:rPr>
        <w:t>Hofsheier</w:t>
      </w:r>
      <w:r w:rsidRPr="00D425BE">
        <w:rPr>
          <w:rFonts w:ascii="Century Gothic" w:hAnsi="Century Gothic"/>
          <w:color w:val="000000"/>
          <w:sz w:val="24"/>
          <w:szCs w:val="24"/>
        </w:rPr>
        <w:t xml:space="preserve"> ruling, courts did not impose sex offender registration for certain offenses.  Although the California Penal Code still listed these offenses, by case law the courts could not impose it.</w:t>
      </w:r>
    </w:p>
    <w:p w14:paraId="6764D638" w14:textId="77777777" w:rsidR="0054612F" w:rsidRPr="00D425BE" w:rsidRDefault="0054612F" w:rsidP="00707203">
      <w:pPr>
        <w:rPr>
          <w:rFonts w:ascii="Century Gothic" w:hAnsi="Century Gothic"/>
          <w:color w:val="000000"/>
          <w:sz w:val="24"/>
          <w:szCs w:val="24"/>
        </w:rPr>
      </w:pPr>
    </w:p>
    <w:p w14:paraId="15D6B170" w14:textId="4049B9AC" w:rsidR="00707203" w:rsidRPr="00D425BE" w:rsidRDefault="00707203" w:rsidP="00707203">
      <w:pPr>
        <w:rPr>
          <w:rFonts w:ascii="Century Gothic" w:hAnsi="Century Gothic"/>
          <w:sz w:val="24"/>
          <w:szCs w:val="24"/>
        </w:rPr>
      </w:pPr>
      <w:r w:rsidRPr="00D425BE">
        <w:rPr>
          <w:rFonts w:ascii="Century Gothic" w:hAnsi="Century Gothic"/>
          <w:color w:val="000000"/>
          <w:sz w:val="24"/>
          <w:szCs w:val="24"/>
        </w:rPr>
        <w:t xml:space="preserve">However, </w:t>
      </w:r>
      <w:r w:rsidRPr="00D425BE">
        <w:rPr>
          <w:rFonts w:ascii="Century Gothic" w:hAnsi="Century Gothic"/>
          <w:sz w:val="24"/>
          <w:szCs w:val="24"/>
        </w:rPr>
        <w:t xml:space="preserve">because of the California Supreme Court’s decision in </w:t>
      </w:r>
      <w:r w:rsidRPr="00D425BE">
        <w:rPr>
          <w:rFonts w:ascii="Century Gothic" w:hAnsi="Century Gothic"/>
          <w:i/>
          <w:sz w:val="24"/>
          <w:szCs w:val="24"/>
        </w:rPr>
        <w:t xml:space="preserve">People v. Johnson </w:t>
      </w:r>
      <w:r w:rsidRPr="00D425BE">
        <w:rPr>
          <w:rFonts w:ascii="Century Gothic" w:hAnsi="Century Gothic"/>
          <w:sz w:val="24"/>
          <w:szCs w:val="24"/>
        </w:rPr>
        <w:t>(2015) 60 Cal.4</w:t>
      </w:r>
      <w:r w:rsidRPr="00D425BE">
        <w:rPr>
          <w:rFonts w:ascii="Century Gothic" w:hAnsi="Century Gothic"/>
          <w:sz w:val="24"/>
          <w:szCs w:val="24"/>
          <w:vertAlign w:val="superscript"/>
        </w:rPr>
        <w:t>th</w:t>
      </w:r>
      <w:r w:rsidRPr="00D425BE">
        <w:rPr>
          <w:rFonts w:ascii="Century Gothic" w:hAnsi="Century Gothic"/>
          <w:sz w:val="24"/>
          <w:szCs w:val="24"/>
        </w:rPr>
        <w:t xml:space="preserve"> 871, the law regarding sex offender registration for numerous consensual offenses has changed.  The </w:t>
      </w:r>
      <w:r w:rsidRPr="00D425BE">
        <w:rPr>
          <w:rFonts w:ascii="Century Gothic" w:hAnsi="Century Gothic"/>
          <w:i/>
          <w:sz w:val="24"/>
          <w:szCs w:val="24"/>
        </w:rPr>
        <w:t>Johnson</w:t>
      </w:r>
      <w:r w:rsidRPr="00D425BE">
        <w:rPr>
          <w:rFonts w:ascii="Century Gothic" w:hAnsi="Century Gothic"/>
          <w:sz w:val="24"/>
          <w:szCs w:val="24"/>
        </w:rPr>
        <w:t xml:space="preserve"> ruling reversed the previous decision in </w:t>
      </w:r>
      <w:r w:rsidRPr="00D425BE">
        <w:rPr>
          <w:rFonts w:ascii="Century Gothic" w:hAnsi="Century Gothic"/>
          <w:i/>
          <w:sz w:val="24"/>
          <w:szCs w:val="24"/>
        </w:rPr>
        <w:t>People v. Hofsheier</w:t>
      </w:r>
      <w:r w:rsidRPr="00D425BE">
        <w:rPr>
          <w:rFonts w:ascii="Century Gothic" w:hAnsi="Century Gothic"/>
          <w:sz w:val="24"/>
          <w:szCs w:val="24"/>
        </w:rPr>
        <w:t xml:space="preserve">, as well as those in several other cases in which the Court held that it was unconstitutional to require mandatory sex offender registration for persons convicted of certain consensual sex offenses </w:t>
      </w:r>
      <w:r w:rsidR="00F47615" w:rsidRPr="00D425BE">
        <w:rPr>
          <w:rFonts w:ascii="Century Gothic" w:hAnsi="Century Gothic"/>
          <w:sz w:val="24"/>
          <w:szCs w:val="24"/>
        </w:rPr>
        <w:t>on</w:t>
      </w:r>
      <w:r w:rsidRPr="00D425BE">
        <w:rPr>
          <w:rFonts w:ascii="Century Gothic" w:hAnsi="Century Gothic"/>
          <w:sz w:val="24"/>
          <w:szCs w:val="24"/>
        </w:rPr>
        <w:t xml:space="preserve"> equal protection</w:t>
      </w:r>
      <w:r w:rsidR="00F47615" w:rsidRPr="00D425BE">
        <w:rPr>
          <w:rFonts w:ascii="Century Gothic" w:hAnsi="Century Gothic"/>
          <w:sz w:val="24"/>
          <w:szCs w:val="24"/>
        </w:rPr>
        <w:t xml:space="preserve"> grounds.</w:t>
      </w:r>
      <w:r w:rsidRPr="00D425BE">
        <w:rPr>
          <w:rFonts w:ascii="Century Gothic" w:hAnsi="Century Gothic"/>
          <w:sz w:val="24"/>
          <w:szCs w:val="24"/>
        </w:rPr>
        <w:t xml:space="preserve">  The </w:t>
      </w:r>
      <w:r w:rsidR="00F47615" w:rsidRPr="00D425BE">
        <w:rPr>
          <w:rFonts w:ascii="Century Gothic" w:hAnsi="Century Gothic"/>
          <w:i/>
          <w:iCs/>
          <w:sz w:val="24"/>
          <w:szCs w:val="24"/>
        </w:rPr>
        <w:t xml:space="preserve">Johnson </w:t>
      </w:r>
      <w:r w:rsidRPr="00D425BE">
        <w:rPr>
          <w:rFonts w:ascii="Century Gothic" w:hAnsi="Century Gothic"/>
          <w:sz w:val="24"/>
          <w:szCs w:val="24"/>
        </w:rPr>
        <w:t xml:space="preserve">ruling </w:t>
      </w:r>
      <w:r w:rsidR="00F47615" w:rsidRPr="00D425BE">
        <w:rPr>
          <w:rFonts w:ascii="Century Gothic" w:hAnsi="Century Gothic"/>
          <w:sz w:val="24"/>
          <w:szCs w:val="24"/>
        </w:rPr>
        <w:t>is</w:t>
      </w:r>
      <w:r w:rsidRPr="00D425BE">
        <w:rPr>
          <w:rFonts w:ascii="Century Gothic" w:hAnsi="Century Gothic"/>
          <w:sz w:val="24"/>
          <w:szCs w:val="24"/>
        </w:rPr>
        <w:t xml:space="preserve"> irrational and in no way addressed the intrinsic unfairness of the disparate registration requirements for these consensual offenses.  In fact, it narrowly ruled that because there was an identifiable difference between unlawful sex with a minor and oral copulation – that pregnancy can occur, there was no violation of equal protection.  </w:t>
      </w:r>
      <w:r w:rsidR="00F47615" w:rsidRPr="00D425BE">
        <w:rPr>
          <w:rFonts w:ascii="Century Gothic" w:hAnsi="Century Gothic"/>
          <w:sz w:val="24"/>
          <w:szCs w:val="24"/>
        </w:rPr>
        <w:t xml:space="preserve">The decision ignored </w:t>
      </w:r>
      <w:r w:rsidRPr="00D425BE">
        <w:rPr>
          <w:rFonts w:ascii="Century Gothic" w:hAnsi="Century Gothic"/>
          <w:sz w:val="24"/>
          <w:szCs w:val="24"/>
        </w:rPr>
        <w:t>the fact that pregnancy committed during the commission of a crime is considered a serious bodily injury</w:t>
      </w:r>
      <w:r w:rsidR="00F47615" w:rsidRPr="00D425BE">
        <w:rPr>
          <w:rFonts w:ascii="Century Gothic" w:hAnsi="Century Gothic"/>
          <w:sz w:val="24"/>
          <w:szCs w:val="24"/>
        </w:rPr>
        <w:t xml:space="preserve"> under California law</w:t>
      </w:r>
      <w:r w:rsidRPr="00D425BE">
        <w:rPr>
          <w:rFonts w:ascii="Century Gothic" w:hAnsi="Century Gothic"/>
          <w:sz w:val="24"/>
          <w:szCs w:val="24"/>
        </w:rPr>
        <w:t>.</w:t>
      </w:r>
    </w:p>
    <w:p w14:paraId="6861D4DA" w14:textId="77777777" w:rsidR="00707203" w:rsidRPr="00D425BE" w:rsidRDefault="00707203" w:rsidP="00707203">
      <w:pPr>
        <w:rPr>
          <w:rFonts w:ascii="Century Gothic" w:hAnsi="Century Gothic"/>
          <w:sz w:val="24"/>
          <w:szCs w:val="24"/>
        </w:rPr>
      </w:pPr>
    </w:p>
    <w:p w14:paraId="0C2F8DC2" w14:textId="77777777" w:rsidR="00707203" w:rsidRPr="00D425BE" w:rsidRDefault="00707203" w:rsidP="00707203">
      <w:pPr>
        <w:rPr>
          <w:rFonts w:ascii="Century Gothic" w:hAnsi="Century Gothic"/>
          <w:sz w:val="24"/>
          <w:szCs w:val="24"/>
        </w:rPr>
      </w:pPr>
      <w:r w:rsidRPr="00D425BE">
        <w:rPr>
          <w:rFonts w:ascii="Century Gothic" w:hAnsi="Century Gothic"/>
          <w:sz w:val="24"/>
          <w:szCs w:val="24"/>
        </w:rPr>
        <w:t>Additionally, it is important to consider the purpose of sex offender registration. Under California law the primary legal purpose of our sex offender registry is to be used as an investigative tool to locate suspects when a new sexual assault occurs.  It is also a means of tracking sexual predators through annual and transient registration.  Because these offenses do not represent predatory or violent behavior, the registration requirement does not serve its intended purpose.  Furthermore, being a sex offender registrant can have catastrophic consequences, particularly for someone of college age or just beginning their career.  It is a hindrance to housing as well as employment. Additionally, if any fact pattern or offense does warrant registration, it can be ordered under Penal Code Section 290.006 (discretionary registration).</w:t>
      </w:r>
    </w:p>
    <w:p w14:paraId="175E07CC" w14:textId="1F308FA5" w:rsidR="00707203" w:rsidRPr="00D425BE" w:rsidRDefault="00D425BE" w:rsidP="00707203">
      <w:pPr>
        <w:rPr>
          <w:rFonts w:ascii="Century Gothic" w:hAnsi="Century Gothic"/>
          <w:b/>
          <w:bCs/>
          <w:sz w:val="24"/>
          <w:szCs w:val="24"/>
        </w:rPr>
      </w:pPr>
      <w:r w:rsidRPr="00D425BE">
        <w:rPr>
          <w:rFonts w:ascii="Century Gothic" w:hAnsi="Century Gothic"/>
          <w:b/>
          <w:bCs/>
          <w:sz w:val="24"/>
          <w:szCs w:val="24"/>
        </w:rPr>
        <w:lastRenderedPageBreak/>
        <w:t>September 1, 2020</w:t>
      </w:r>
    </w:p>
    <w:p w14:paraId="25036D88" w14:textId="011EDAA7" w:rsidR="00D425BE" w:rsidRPr="00D425BE" w:rsidRDefault="00D425BE" w:rsidP="00707203">
      <w:pPr>
        <w:rPr>
          <w:rFonts w:ascii="Century Gothic" w:hAnsi="Century Gothic"/>
          <w:b/>
          <w:bCs/>
          <w:sz w:val="24"/>
          <w:szCs w:val="24"/>
        </w:rPr>
      </w:pPr>
      <w:r w:rsidRPr="00D425BE">
        <w:rPr>
          <w:rFonts w:ascii="Century Gothic" w:hAnsi="Century Gothic"/>
          <w:b/>
          <w:bCs/>
          <w:sz w:val="24"/>
          <w:szCs w:val="24"/>
        </w:rPr>
        <w:t>Page Three</w:t>
      </w:r>
    </w:p>
    <w:p w14:paraId="17B6D824" w14:textId="77777777" w:rsidR="00D425BE" w:rsidRPr="00D425BE" w:rsidRDefault="00D425BE" w:rsidP="00707203">
      <w:pPr>
        <w:rPr>
          <w:rFonts w:ascii="Century Gothic" w:hAnsi="Century Gothic"/>
          <w:sz w:val="24"/>
          <w:szCs w:val="24"/>
        </w:rPr>
      </w:pPr>
    </w:p>
    <w:p w14:paraId="0D5DD90E" w14:textId="22B039F2" w:rsidR="00707203" w:rsidRPr="00D425BE" w:rsidRDefault="00707203" w:rsidP="00707203">
      <w:pPr>
        <w:rPr>
          <w:rFonts w:ascii="Century Gothic" w:hAnsi="Century Gothic"/>
          <w:sz w:val="24"/>
          <w:szCs w:val="24"/>
        </w:rPr>
      </w:pPr>
      <w:r w:rsidRPr="00D425BE">
        <w:rPr>
          <w:rFonts w:ascii="Century Gothic" w:hAnsi="Century Gothic"/>
          <w:sz w:val="24"/>
          <w:szCs w:val="24"/>
        </w:rPr>
        <w:t>SB 145 authorize</w:t>
      </w:r>
      <w:r w:rsidR="00F47615" w:rsidRPr="00D425BE">
        <w:rPr>
          <w:rFonts w:ascii="Century Gothic" w:hAnsi="Century Gothic"/>
          <w:sz w:val="24"/>
          <w:szCs w:val="24"/>
        </w:rPr>
        <w:t>s</w:t>
      </w:r>
      <w:r w:rsidRPr="00D425BE">
        <w:rPr>
          <w:rFonts w:ascii="Century Gothic" w:hAnsi="Century Gothic"/>
          <w:sz w:val="24"/>
          <w:szCs w:val="24"/>
        </w:rPr>
        <w:t xml:space="preserve"> a person convicted of </w:t>
      </w:r>
      <w:r w:rsidRPr="00D425BE">
        <w:rPr>
          <w:rFonts w:ascii="Century Gothic" w:hAnsi="Century Gothic"/>
          <w:color w:val="000000"/>
          <w:sz w:val="24"/>
          <w:szCs w:val="24"/>
        </w:rPr>
        <w:t xml:space="preserve">Penal Code Sections 288a(b)(1) and (2); 286(b)(1) &amp; (2); and 289(h) &amp; (i) </w:t>
      </w:r>
      <w:r w:rsidRPr="00D425BE">
        <w:rPr>
          <w:rFonts w:ascii="Century Gothic" w:hAnsi="Century Gothic"/>
          <w:sz w:val="24"/>
          <w:szCs w:val="24"/>
        </w:rPr>
        <w:t xml:space="preserve">to seek discretionary relief from the duty to register if the person is not more than 10 years older than the minor.  </w:t>
      </w:r>
      <w:r w:rsidRPr="00D425BE">
        <w:rPr>
          <w:rFonts w:ascii="Century Gothic" w:hAnsi="Century Gothic"/>
          <w:color w:val="000000"/>
          <w:sz w:val="24"/>
          <w:szCs w:val="24"/>
        </w:rPr>
        <w:t xml:space="preserve">Courts would still retain their discretionary power under Penal Code Section 290.006 to impose sex offender registration in any case in which the judge deems it appropriate. </w:t>
      </w:r>
    </w:p>
    <w:p w14:paraId="645CAD8C" w14:textId="5DABCCC2" w:rsidR="00707203" w:rsidRPr="00D425BE" w:rsidRDefault="00707203" w:rsidP="00707203">
      <w:pPr>
        <w:rPr>
          <w:rFonts w:ascii="Century Gothic" w:hAnsi="Century Gothic"/>
          <w:sz w:val="24"/>
          <w:szCs w:val="24"/>
        </w:rPr>
      </w:pPr>
    </w:p>
    <w:p w14:paraId="22DB1222" w14:textId="00CB00A9" w:rsidR="0054612F" w:rsidRPr="00D425BE" w:rsidRDefault="00F47615" w:rsidP="00891E77">
      <w:pPr>
        <w:pStyle w:val="Default"/>
        <w:rPr>
          <w:rFonts w:ascii="Century Gothic" w:hAnsi="Century Gothic"/>
        </w:rPr>
      </w:pPr>
      <w:r w:rsidRPr="00D425BE">
        <w:rPr>
          <w:rFonts w:ascii="Century Gothic" w:hAnsi="Century Gothic"/>
        </w:rPr>
        <w:t>SB 145 does NOT decriminalize anything or reduce the penalty for any crime</w:t>
      </w:r>
      <w:r w:rsidR="00891E77" w:rsidRPr="00D425BE">
        <w:rPr>
          <w:rFonts w:ascii="Century Gothic" w:hAnsi="Century Gothic"/>
        </w:rPr>
        <w:t xml:space="preserve"> under California law.</w:t>
      </w:r>
      <w:r w:rsidRPr="00D425BE">
        <w:rPr>
          <w:rFonts w:ascii="Century Gothic" w:hAnsi="Century Gothic"/>
        </w:rPr>
        <w:t xml:space="preserve"> Defendants who fall under </w:t>
      </w:r>
      <w:r w:rsidR="00891E77" w:rsidRPr="00D425BE">
        <w:rPr>
          <w:rFonts w:ascii="Century Gothic" w:hAnsi="Century Gothic"/>
        </w:rPr>
        <w:t xml:space="preserve">the provisions of </w:t>
      </w:r>
      <w:r w:rsidRPr="00D425BE">
        <w:rPr>
          <w:rFonts w:ascii="Century Gothic" w:hAnsi="Century Gothic"/>
        </w:rPr>
        <w:t xml:space="preserve">SB 145 will still be convicted of an underlying crime. Prosecutors have, and will retain, tools that allow </w:t>
      </w:r>
      <w:r w:rsidR="00891E77" w:rsidRPr="00D425BE">
        <w:rPr>
          <w:rFonts w:ascii="Century Gothic" w:hAnsi="Century Gothic"/>
        </w:rPr>
        <w:t xml:space="preserve">us </w:t>
      </w:r>
      <w:r w:rsidRPr="00D425BE">
        <w:rPr>
          <w:rFonts w:ascii="Century Gothic" w:hAnsi="Century Gothic"/>
        </w:rPr>
        <w:t xml:space="preserve">to seek registration </w:t>
      </w:r>
      <w:r w:rsidRPr="00D425BE">
        <w:rPr>
          <w:rFonts w:ascii="Century Gothic" w:hAnsi="Century Gothic"/>
          <w:i/>
          <w:iCs/>
        </w:rPr>
        <w:t xml:space="preserve">and </w:t>
      </w:r>
      <w:r w:rsidRPr="00D425BE">
        <w:rPr>
          <w:rFonts w:ascii="Century Gothic" w:hAnsi="Century Gothic"/>
        </w:rPr>
        <w:t xml:space="preserve">long state prison sentences against anyone who preys on a child. </w:t>
      </w:r>
      <w:r w:rsidR="00891E77" w:rsidRPr="00D425BE">
        <w:rPr>
          <w:rFonts w:ascii="Century Gothic" w:hAnsi="Century Gothic"/>
        </w:rPr>
        <w:t xml:space="preserve">  </w:t>
      </w:r>
      <w:r w:rsidRPr="00D425BE">
        <w:rPr>
          <w:rFonts w:ascii="Century Gothic" w:hAnsi="Century Gothic"/>
        </w:rPr>
        <w:t xml:space="preserve">SB 145 simply replaces automatic </w:t>
      </w:r>
      <w:r w:rsidR="00891E77" w:rsidRPr="00D425BE">
        <w:rPr>
          <w:rFonts w:ascii="Century Gothic" w:hAnsi="Century Gothic"/>
        </w:rPr>
        <w:t xml:space="preserve">sex offender </w:t>
      </w:r>
      <w:r w:rsidRPr="00D425BE">
        <w:rPr>
          <w:rFonts w:ascii="Century Gothic" w:hAnsi="Century Gothic"/>
        </w:rPr>
        <w:t>registration with discretionary registration, meaning that, under specified circumstances, prosecutors have discretion to use the facts of the case to decide when registration is necessary</w:t>
      </w:r>
      <w:r w:rsidR="00891E77" w:rsidRPr="00D425BE">
        <w:rPr>
          <w:rFonts w:ascii="Century Gothic" w:hAnsi="Century Gothic"/>
        </w:rPr>
        <w:t xml:space="preserve"> and appropriate</w:t>
      </w:r>
      <w:r w:rsidRPr="00D425BE">
        <w:rPr>
          <w:rFonts w:ascii="Century Gothic" w:hAnsi="Century Gothic"/>
        </w:rPr>
        <w:t xml:space="preserve">, a framework that matches the </w:t>
      </w:r>
      <w:r w:rsidRPr="00D425BE">
        <w:rPr>
          <w:rFonts w:ascii="Century Gothic" w:hAnsi="Century Gothic"/>
          <w:i/>
          <w:iCs/>
        </w:rPr>
        <w:t xml:space="preserve">existing </w:t>
      </w:r>
      <w:r w:rsidRPr="00D425BE">
        <w:rPr>
          <w:rFonts w:ascii="Century Gothic" w:hAnsi="Century Gothic"/>
        </w:rPr>
        <w:t>treatment of penile-vaginal sex, which has never carried automatic registration.</w:t>
      </w:r>
    </w:p>
    <w:p w14:paraId="0C760EF7" w14:textId="77777777" w:rsidR="0054612F" w:rsidRPr="00D425BE" w:rsidRDefault="0054612F" w:rsidP="0054612F">
      <w:pPr>
        <w:rPr>
          <w:rFonts w:ascii="Century Gothic" w:hAnsi="Century Gothic"/>
          <w:color w:val="000000"/>
          <w:sz w:val="24"/>
          <w:szCs w:val="24"/>
        </w:rPr>
      </w:pPr>
    </w:p>
    <w:p w14:paraId="6E2F691E" w14:textId="6805D134" w:rsidR="00891E77" w:rsidRPr="00D425BE" w:rsidRDefault="00891E77" w:rsidP="00891E77">
      <w:pPr>
        <w:pStyle w:val="Default"/>
        <w:rPr>
          <w:rFonts w:ascii="Century Gothic" w:hAnsi="Century Gothic"/>
        </w:rPr>
      </w:pPr>
      <w:r w:rsidRPr="00D425BE">
        <w:rPr>
          <w:rFonts w:ascii="Century Gothic" w:hAnsi="Century Gothic"/>
        </w:rPr>
        <w:t xml:space="preserve">We are pleased to be joined by Equality California in sponsoring SB 145.  SB 145 is supported by the California Police Chiefs Association, California District Attorney’s Association, Alameda County District Attorney’s Office, California Coalition Against Sexual Assault, Children Now, Crime Victims Action Alliance, San Francisco Mayor London Breed, California Public Defenders Association, ACLU of California, Anti-Defamation League, California LGBTQ+ Health and Human Services Network, El/La Para TransLatinas, Family Equality, </w:t>
      </w:r>
      <w:r w:rsidR="0054612F" w:rsidRPr="00D425BE">
        <w:rPr>
          <w:rFonts w:ascii="Century Gothic" w:hAnsi="Century Gothic"/>
        </w:rPr>
        <w:t>Lambda</w:t>
      </w:r>
      <w:r w:rsidRPr="00D425BE">
        <w:rPr>
          <w:rFonts w:ascii="Century Gothic" w:hAnsi="Century Gothic"/>
        </w:rPr>
        <w:t xml:space="preserve"> Legal, Latino Equality Alliance, National Center for Lesbian Rights, O.L.A. Raza, Inc., San Gabriel Valley LGBTQ Center, and Smart Justice California.  These organizations wholeheartedly understand that SB 145 supports justice and equity by simply providing courts and prosecutors with discretion in cases involving voluntary, non-forcible offenses and does not put anyone at risk or jeopardize public safety.</w:t>
      </w:r>
    </w:p>
    <w:p w14:paraId="44D76644" w14:textId="509FD216" w:rsidR="00891E77" w:rsidRPr="00D425BE" w:rsidRDefault="00891E77" w:rsidP="00891E77">
      <w:pPr>
        <w:pStyle w:val="Default"/>
        <w:rPr>
          <w:rFonts w:ascii="Century Gothic" w:hAnsi="Century Gothic"/>
        </w:rPr>
      </w:pPr>
    </w:p>
    <w:p w14:paraId="50B77CE9" w14:textId="77777777" w:rsidR="0054612F" w:rsidRPr="00D425BE" w:rsidRDefault="0054612F" w:rsidP="0054612F">
      <w:pPr>
        <w:rPr>
          <w:rFonts w:ascii="Century Gothic" w:hAnsi="Century Gothic"/>
          <w:sz w:val="24"/>
          <w:szCs w:val="24"/>
        </w:rPr>
      </w:pPr>
      <w:r w:rsidRPr="00D425BE">
        <w:rPr>
          <w:rFonts w:ascii="Century Gothic" w:hAnsi="Century Gothic"/>
          <w:color w:val="000000"/>
          <w:sz w:val="24"/>
          <w:szCs w:val="24"/>
        </w:rPr>
        <w:t xml:space="preserve">SB 145 </w:t>
      </w:r>
      <w:r w:rsidRPr="00D425BE">
        <w:rPr>
          <w:rFonts w:ascii="Century Gothic" w:hAnsi="Century Gothic"/>
          <w:sz w:val="24"/>
          <w:szCs w:val="24"/>
        </w:rPr>
        <w:t>brings much-needed parity to California’s sexual offender registration law.  We drafted this bill because we believe the law must be applied equally to ensure justice for all Californians.</w:t>
      </w:r>
    </w:p>
    <w:p w14:paraId="1E4B7AEC" w14:textId="77777777" w:rsidR="0054612F" w:rsidRPr="00D425BE" w:rsidRDefault="0054612F" w:rsidP="00891E77">
      <w:pPr>
        <w:pStyle w:val="Default"/>
        <w:rPr>
          <w:rFonts w:ascii="Century Gothic" w:hAnsi="Century Gothic"/>
        </w:rPr>
      </w:pPr>
    </w:p>
    <w:p w14:paraId="4B2F0F53" w14:textId="5AE517AA" w:rsidR="00891E77" w:rsidRPr="00D425BE" w:rsidRDefault="00891E77" w:rsidP="00891E77">
      <w:pPr>
        <w:textAlignment w:val="baseline"/>
        <w:rPr>
          <w:rFonts w:ascii="Century Gothic" w:hAnsi="Century Gothic"/>
          <w:b/>
          <w:sz w:val="24"/>
          <w:szCs w:val="24"/>
        </w:rPr>
      </w:pPr>
      <w:r w:rsidRPr="00D425BE">
        <w:rPr>
          <w:rFonts w:ascii="Century Gothic" w:hAnsi="Century Gothic"/>
          <w:b/>
          <w:sz w:val="24"/>
          <w:szCs w:val="24"/>
        </w:rPr>
        <w:t>We respectfully request you sign Senate Bill 145.</w:t>
      </w:r>
    </w:p>
    <w:p w14:paraId="676BC635" w14:textId="77777777" w:rsidR="00891E77" w:rsidRPr="00D425BE" w:rsidRDefault="00891E77" w:rsidP="00891E77">
      <w:pPr>
        <w:autoSpaceDE w:val="0"/>
        <w:autoSpaceDN w:val="0"/>
        <w:adjustRightInd w:val="0"/>
        <w:rPr>
          <w:rFonts w:ascii="Century Gothic" w:hAnsi="Century Gothic"/>
          <w:sz w:val="24"/>
          <w:szCs w:val="24"/>
        </w:rPr>
      </w:pPr>
    </w:p>
    <w:p w14:paraId="65F5E19E" w14:textId="77777777" w:rsidR="00D425BE" w:rsidRDefault="00D425BE">
      <w:pPr>
        <w:rPr>
          <w:rFonts w:ascii="Century Gothic" w:hAnsi="Century Gothic"/>
          <w:sz w:val="24"/>
          <w:szCs w:val="24"/>
        </w:rPr>
      </w:pPr>
      <w:r>
        <w:rPr>
          <w:rFonts w:ascii="Century Gothic" w:hAnsi="Century Gothic"/>
          <w:sz w:val="24"/>
          <w:szCs w:val="24"/>
        </w:rPr>
        <w:br w:type="page"/>
      </w:r>
    </w:p>
    <w:p w14:paraId="2A47C89B" w14:textId="77777777" w:rsidR="00D425BE" w:rsidRPr="00D425BE" w:rsidRDefault="00D425BE" w:rsidP="00891E77">
      <w:pPr>
        <w:rPr>
          <w:rFonts w:ascii="Century Gothic" w:hAnsi="Century Gothic"/>
          <w:b/>
          <w:bCs/>
          <w:sz w:val="24"/>
          <w:szCs w:val="24"/>
        </w:rPr>
      </w:pPr>
      <w:r w:rsidRPr="00D425BE">
        <w:rPr>
          <w:rFonts w:ascii="Century Gothic" w:hAnsi="Century Gothic"/>
          <w:b/>
          <w:bCs/>
          <w:sz w:val="24"/>
          <w:szCs w:val="24"/>
        </w:rPr>
        <w:lastRenderedPageBreak/>
        <w:t>September 1, 2020</w:t>
      </w:r>
    </w:p>
    <w:p w14:paraId="4332CFD5" w14:textId="77777777" w:rsidR="00D425BE" w:rsidRPr="00D425BE" w:rsidRDefault="00D425BE" w:rsidP="00891E77">
      <w:pPr>
        <w:rPr>
          <w:rFonts w:ascii="Century Gothic" w:hAnsi="Century Gothic"/>
          <w:b/>
          <w:bCs/>
          <w:sz w:val="24"/>
          <w:szCs w:val="24"/>
        </w:rPr>
      </w:pPr>
      <w:r w:rsidRPr="00D425BE">
        <w:rPr>
          <w:rFonts w:ascii="Century Gothic" w:hAnsi="Century Gothic"/>
          <w:b/>
          <w:bCs/>
          <w:sz w:val="24"/>
          <w:szCs w:val="24"/>
        </w:rPr>
        <w:t>Page Four</w:t>
      </w:r>
    </w:p>
    <w:p w14:paraId="545184E8" w14:textId="77777777" w:rsidR="00D425BE" w:rsidRDefault="00D425BE" w:rsidP="00891E77">
      <w:pPr>
        <w:rPr>
          <w:rFonts w:ascii="Century Gothic" w:hAnsi="Century Gothic"/>
          <w:sz w:val="24"/>
          <w:szCs w:val="24"/>
        </w:rPr>
      </w:pPr>
    </w:p>
    <w:p w14:paraId="2C9FBE0A" w14:textId="0F5BEAF5" w:rsidR="00891E77" w:rsidRPr="00D425BE" w:rsidRDefault="00891E77" w:rsidP="00891E77">
      <w:pPr>
        <w:rPr>
          <w:rFonts w:ascii="Century Gothic" w:hAnsi="Century Gothic"/>
          <w:sz w:val="24"/>
          <w:szCs w:val="24"/>
        </w:rPr>
      </w:pPr>
      <w:r w:rsidRPr="00D425BE">
        <w:rPr>
          <w:rFonts w:ascii="Century Gothic" w:hAnsi="Century Gothic"/>
          <w:sz w:val="24"/>
          <w:szCs w:val="24"/>
        </w:rPr>
        <w:t>If you have any questions or need additional information, please feel free to contact our office at (916) 442-0668.</w:t>
      </w:r>
    </w:p>
    <w:p w14:paraId="074A56DC" w14:textId="77777777" w:rsidR="00891E77" w:rsidRPr="00D425BE" w:rsidRDefault="00891E77" w:rsidP="00891E77">
      <w:pPr>
        <w:rPr>
          <w:rFonts w:ascii="Century Gothic" w:hAnsi="Century Gothic"/>
          <w:sz w:val="24"/>
          <w:szCs w:val="24"/>
        </w:rPr>
      </w:pPr>
    </w:p>
    <w:p w14:paraId="49F2E580" w14:textId="77777777" w:rsidR="00891E77" w:rsidRPr="00D425BE" w:rsidRDefault="00891E77" w:rsidP="00891E77">
      <w:pPr>
        <w:rPr>
          <w:rFonts w:ascii="Century Gothic" w:hAnsi="Century Gothic"/>
          <w:sz w:val="24"/>
          <w:szCs w:val="24"/>
        </w:rPr>
      </w:pPr>
      <w:r w:rsidRPr="00D425BE">
        <w:rPr>
          <w:rFonts w:ascii="Century Gothic" w:hAnsi="Century Gothic"/>
          <w:sz w:val="24"/>
          <w:szCs w:val="24"/>
        </w:rPr>
        <w:t>Very truly yours,</w:t>
      </w:r>
    </w:p>
    <w:p w14:paraId="065B4675" w14:textId="77777777" w:rsidR="00891E77" w:rsidRPr="00D425BE" w:rsidRDefault="00891E77" w:rsidP="00891E77">
      <w:pPr>
        <w:rPr>
          <w:rFonts w:ascii="Century Gothic" w:hAnsi="Century Gothic"/>
          <w:sz w:val="24"/>
          <w:szCs w:val="24"/>
        </w:rPr>
      </w:pPr>
    </w:p>
    <w:p w14:paraId="76AA99A4" w14:textId="77777777" w:rsidR="00891E77" w:rsidRPr="00D425BE" w:rsidRDefault="00891E77" w:rsidP="00891E77">
      <w:pPr>
        <w:rPr>
          <w:rFonts w:ascii="Century Gothic" w:hAnsi="Century Gothic"/>
          <w:sz w:val="24"/>
          <w:szCs w:val="24"/>
        </w:rPr>
      </w:pPr>
      <w:r w:rsidRPr="00D425BE">
        <w:rPr>
          <w:rFonts w:ascii="Century Gothic" w:hAnsi="Century Gothic"/>
          <w:sz w:val="24"/>
          <w:szCs w:val="24"/>
        </w:rPr>
        <w:t>JACKIE LACEY</w:t>
      </w:r>
    </w:p>
    <w:p w14:paraId="09D5300D" w14:textId="77777777" w:rsidR="00891E77" w:rsidRPr="00D425BE" w:rsidRDefault="00891E77" w:rsidP="00891E77">
      <w:pPr>
        <w:rPr>
          <w:rFonts w:ascii="Century Gothic" w:hAnsi="Century Gothic"/>
          <w:sz w:val="24"/>
          <w:szCs w:val="24"/>
        </w:rPr>
      </w:pPr>
      <w:r w:rsidRPr="00D425BE">
        <w:rPr>
          <w:rFonts w:ascii="Century Gothic" w:hAnsi="Century Gothic"/>
          <w:sz w:val="24"/>
          <w:szCs w:val="24"/>
        </w:rPr>
        <w:t>District Attorney</w:t>
      </w:r>
    </w:p>
    <w:p w14:paraId="52A125C8" w14:textId="77777777" w:rsidR="00891E77" w:rsidRPr="00D425BE" w:rsidRDefault="00891E77" w:rsidP="00891E77">
      <w:pPr>
        <w:rPr>
          <w:rFonts w:ascii="Century Gothic" w:hAnsi="Century Gothic"/>
          <w:sz w:val="24"/>
          <w:szCs w:val="24"/>
        </w:rPr>
      </w:pPr>
    </w:p>
    <w:p w14:paraId="0B33594E" w14:textId="77777777" w:rsidR="00891E77" w:rsidRPr="00D425BE" w:rsidRDefault="00891E77" w:rsidP="00891E77">
      <w:pPr>
        <w:rPr>
          <w:rFonts w:ascii="Century Gothic" w:hAnsi="Century Gothic"/>
          <w:sz w:val="24"/>
          <w:szCs w:val="24"/>
        </w:rPr>
      </w:pPr>
      <w:r w:rsidRPr="00D425BE">
        <w:rPr>
          <w:rFonts w:ascii="Century Gothic" w:hAnsi="Century Gothic"/>
          <w:sz w:val="24"/>
          <w:szCs w:val="24"/>
        </w:rPr>
        <w:t>By</w:t>
      </w:r>
    </w:p>
    <w:p w14:paraId="4BF5AB2D" w14:textId="77777777" w:rsidR="00891E77" w:rsidRPr="00D425BE" w:rsidRDefault="00891E77" w:rsidP="00891E77">
      <w:pPr>
        <w:rPr>
          <w:rFonts w:ascii="Century Gothic" w:hAnsi="Century Gothic"/>
          <w:sz w:val="24"/>
          <w:szCs w:val="24"/>
        </w:rPr>
      </w:pPr>
    </w:p>
    <w:p w14:paraId="2AB4ACC6" w14:textId="77777777" w:rsidR="00891E77" w:rsidRPr="00D425BE" w:rsidRDefault="00891E77" w:rsidP="00891E77">
      <w:pPr>
        <w:rPr>
          <w:rFonts w:ascii="Century Gothic" w:hAnsi="Century Gothic"/>
          <w:sz w:val="24"/>
          <w:szCs w:val="24"/>
        </w:rPr>
      </w:pPr>
    </w:p>
    <w:p w14:paraId="7054F015" w14:textId="77777777" w:rsidR="00891E77" w:rsidRPr="00D425BE" w:rsidRDefault="00891E77" w:rsidP="00891E77">
      <w:pPr>
        <w:rPr>
          <w:rFonts w:ascii="Century Gothic" w:hAnsi="Century Gothic"/>
          <w:sz w:val="24"/>
          <w:szCs w:val="24"/>
        </w:rPr>
      </w:pPr>
    </w:p>
    <w:p w14:paraId="058B52C3" w14:textId="77777777" w:rsidR="00891E77" w:rsidRPr="00D425BE" w:rsidRDefault="00891E77" w:rsidP="00891E77">
      <w:pPr>
        <w:rPr>
          <w:rFonts w:ascii="Century Gothic" w:hAnsi="Century Gothic"/>
          <w:sz w:val="24"/>
          <w:szCs w:val="24"/>
        </w:rPr>
      </w:pPr>
      <w:r w:rsidRPr="00D425BE">
        <w:rPr>
          <w:rFonts w:ascii="Century Gothic" w:hAnsi="Century Gothic"/>
          <w:sz w:val="24"/>
          <w:szCs w:val="24"/>
        </w:rPr>
        <w:t>DANIEL FELIZZATTO</w:t>
      </w:r>
      <w:r w:rsidRPr="00D425BE">
        <w:rPr>
          <w:rFonts w:ascii="Century Gothic" w:hAnsi="Century Gothic"/>
          <w:sz w:val="24"/>
          <w:szCs w:val="24"/>
        </w:rPr>
        <w:br/>
        <w:t>Special Assistant Deputy District Attorney</w:t>
      </w:r>
    </w:p>
    <w:p w14:paraId="4CF2C381" w14:textId="77777777" w:rsidR="00891E77" w:rsidRPr="00D425BE" w:rsidRDefault="00891E77" w:rsidP="00891E77">
      <w:pPr>
        <w:autoSpaceDE w:val="0"/>
        <w:autoSpaceDN w:val="0"/>
        <w:adjustRightInd w:val="0"/>
        <w:rPr>
          <w:rFonts w:ascii="Century Gothic" w:hAnsi="Century Gothic"/>
          <w:sz w:val="24"/>
          <w:szCs w:val="24"/>
        </w:rPr>
      </w:pPr>
    </w:p>
    <w:p w14:paraId="1842FC57" w14:textId="727A08A9" w:rsidR="00891E77" w:rsidRPr="00D425BE" w:rsidRDefault="00891E77" w:rsidP="00891E77">
      <w:pPr>
        <w:autoSpaceDE w:val="0"/>
        <w:autoSpaceDN w:val="0"/>
        <w:adjustRightInd w:val="0"/>
        <w:rPr>
          <w:rFonts w:ascii="Century Gothic" w:hAnsi="Century Gothic"/>
          <w:sz w:val="24"/>
          <w:szCs w:val="24"/>
        </w:rPr>
      </w:pPr>
      <w:r w:rsidRPr="00D425BE">
        <w:rPr>
          <w:rFonts w:ascii="Century Gothic" w:hAnsi="Century Gothic"/>
          <w:sz w:val="24"/>
          <w:szCs w:val="24"/>
        </w:rPr>
        <w:t>cc:</w:t>
      </w:r>
      <w:r w:rsidRPr="00D425BE">
        <w:rPr>
          <w:rFonts w:ascii="Century Gothic" w:hAnsi="Century Gothic"/>
          <w:sz w:val="24"/>
          <w:szCs w:val="24"/>
        </w:rPr>
        <w:tab/>
      </w:r>
      <w:r w:rsidR="0054612F" w:rsidRPr="00D425BE">
        <w:rPr>
          <w:rFonts w:ascii="Century Gothic" w:hAnsi="Century Gothic"/>
          <w:sz w:val="24"/>
          <w:szCs w:val="24"/>
        </w:rPr>
        <w:t>Senator Wiener</w:t>
      </w:r>
    </w:p>
    <w:p w14:paraId="5CD74C3A" w14:textId="77777777" w:rsidR="00891E77" w:rsidRPr="00D425BE" w:rsidRDefault="00891E77" w:rsidP="00891E77">
      <w:pPr>
        <w:rPr>
          <w:rFonts w:ascii="Century Gothic" w:hAnsi="Century Gothic"/>
          <w:sz w:val="24"/>
          <w:szCs w:val="24"/>
        </w:rPr>
      </w:pPr>
      <w:r w:rsidRPr="00D425BE">
        <w:rPr>
          <w:rFonts w:ascii="Century Gothic" w:hAnsi="Century Gothic"/>
          <w:sz w:val="24"/>
          <w:szCs w:val="24"/>
        </w:rPr>
        <w:tab/>
        <w:t>Jessica Devencenzi, Governor’s Office</w:t>
      </w:r>
    </w:p>
    <w:p w14:paraId="64B24BEC" w14:textId="77777777" w:rsidR="00707203" w:rsidRPr="0054612F" w:rsidRDefault="00707203" w:rsidP="00891E77">
      <w:pPr>
        <w:pStyle w:val="Default"/>
      </w:pPr>
    </w:p>
    <w:sectPr w:rsidR="00707203" w:rsidRPr="0054612F" w:rsidSect="000D2960">
      <w:headerReference w:type="default" r:id="rId8"/>
      <w:footerReference w:type="default" r:id="rId9"/>
      <w:type w:val="continuous"/>
      <w:pgSz w:w="12240" w:h="15840" w:code="1"/>
      <w:pgMar w:top="1440" w:right="1440" w:bottom="1440" w:left="1440" w:header="72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2FC88" w14:textId="77777777" w:rsidR="00114FAA" w:rsidRDefault="00114FAA">
      <w:r>
        <w:separator/>
      </w:r>
    </w:p>
  </w:endnote>
  <w:endnote w:type="continuationSeparator" w:id="0">
    <w:p w14:paraId="64F9E7AE" w14:textId="77777777" w:rsidR="00114FAA" w:rsidRDefault="0011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BD46" w14:textId="77777777" w:rsidR="00944EA7" w:rsidRDefault="0053507C" w:rsidP="006437EE">
    <w:pPr>
      <w:pStyle w:val="Footer"/>
      <w:jc w:val="right"/>
      <w:rPr>
        <w:rFonts w:ascii="Univers" w:hAnsi="Univers"/>
        <w:sz w:val="18"/>
      </w:rPr>
    </w:pPr>
    <w:r>
      <w:rPr>
        <w:noProof/>
      </w:rPr>
      <mc:AlternateContent>
        <mc:Choice Requires="wps">
          <w:drawing>
            <wp:anchor distT="0" distB="0" distL="114300" distR="114300" simplePos="0" relativeHeight="251657728" behindDoc="0" locked="0" layoutInCell="1" allowOverlap="1" wp14:anchorId="43AA3BD3" wp14:editId="74C5D581">
              <wp:simplePos x="0" y="0"/>
              <wp:positionH relativeFrom="column">
                <wp:posOffset>4490085</wp:posOffset>
              </wp:positionH>
              <wp:positionV relativeFrom="paragraph">
                <wp:posOffset>36195</wp:posOffset>
              </wp:positionV>
              <wp:extent cx="1920240" cy="0"/>
              <wp:effectExtent l="13335" t="7620" r="952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8FC5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5pt,2.85pt" to="504.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gc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"/>
          </w:pict>
        </mc:Fallback>
      </mc:AlternateContent>
    </w:r>
    <w:r w:rsidR="00944EA7">
      <w:rPr>
        <w:rFonts w:ascii="Univers" w:hAnsi="Univers"/>
        <w:sz w:val="18"/>
      </w:rPr>
      <w:t xml:space="preserve"> </w:t>
    </w:r>
    <w:r w:rsidR="00944EA7">
      <w:rPr>
        <w:rFonts w:ascii="Univers" w:hAnsi="Univers"/>
        <w:sz w:val="18"/>
      </w:rPr>
      <w:br/>
      <w:t>1100 K Street, Suite 404</w:t>
    </w:r>
    <w:r w:rsidR="00944EA7">
      <w:rPr>
        <w:rFonts w:ascii="Univers" w:hAnsi="Univers"/>
        <w:sz w:val="18"/>
      </w:rPr>
      <w:br/>
      <w:t>Sacramento, CA  95814</w:t>
    </w:r>
    <w:r w:rsidR="00944EA7">
      <w:rPr>
        <w:rFonts w:ascii="Univers" w:hAnsi="Univers"/>
        <w:sz w:val="18"/>
      </w:rPr>
      <w:br/>
      <w:t>(916) 442-0668</w:t>
    </w:r>
    <w:r w:rsidR="00944EA7">
      <w:rPr>
        <w:rFonts w:ascii="Univers" w:hAnsi="Univers"/>
        <w:sz w:val="18"/>
      </w:rPr>
      <w:br/>
      <w:t>Fax:  (916) 444-8729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02C5" w14:textId="77777777" w:rsidR="00944EA7" w:rsidRDefault="00944EA7" w:rsidP="006437EE">
    <w:pPr>
      <w:pStyle w:val="Footer"/>
      <w:jc w:val="right"/>
      <w:rPr>
        <w:rFonts w:ascii="Univers" w:hAnsi="Univers"/>
        <w:sz w:val="18"/>
      </w:rPr>
    </w:pPr>
    <w:r>
      <w:rPr>
        <w:rFonts w:ascii="Univers" w:hAnsi="Univer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60E94" w14:textId="77777777" w:rsidR="00114FAA" w:rsidRDefault="00114FAA">
      <w:r>
        <w:separator/>
      </w:r>
    </w:p>
  </w:footnote>
  <w:footnote w:type="continuationSeparator" w:id="0">
    <w:p w14:paraId="689AADB2" w14:textId="77777777" w:rsidR="00114FAA" w:rsidRDefault="0011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BBC4" w14:textId="77777777" w:rsidR="00944EA7" w:rsidRDefault="00944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B4"/>
    <w:rsid w:val="00043643"/>
    <w:rsid w:val="000C6EEC"/>
    <w:rsid w:val="000D2960"/>
    <w:rsid w:val="000D29F6"/>
    <w:rsid w:val="000F0477"/>
    <w:rsid w:val="00114FAA"/>
    <w:rsid w:val="001300AC"/>
    <w:rsid w:val="001C2E43"/>
    <w:rsid w:val="001C5CF4"/>
    <w:rsid w:val="001F12A2"/>
    <w:rsid w:val="002221A9"/>
    <w:rsid w:val="002345F6"/>
    <w:rsid w:val="002F2D47"/>
    <w:rsid w:val="00314280"/>
    <w:rsid w:val="00331CF4"/>
    <w:rsid w:val="00334C0E"/>
    <w:rsid w:val="0034397D"/>
    <w:rsid w:val="00365600"/>
    <w:rsid w:val="003F08CD"/>
    <w:rsid w:val="00413663"/>
    <w:rsid w:val="004760EE"/>
    <w:rsid w:val="004847B1"/>
    <w:rsid w:val="0053507C"/>
    <w:rsid w:val="0054612F"/>
    <w:rsid w:val="00563C74"/>
    <w:rsid w:val="0057570D"/>
    <w:rsid w:val="005D5EB1"/>
    <w:rsid w:val="0060514D"/>
    <w:rsid w:val="006437EE"/>
    <w:rsid w:val="00653138"/>
    <w:rsid w:val="006722AF"/>
    <w:rsid w:val="006B6502"/>
    <w:rsid w:val="006D0703"/>
    <w:rsid w:val="00707203"/>
    <w:rsid w:val="00714B1F"/>
    <w:rsid w:val="00797E60"/>
    <w:rsid w:val="007D01B3"/>
    <w:rsid w:val="00826506"/>
    <w:rsid w:val="00853128"/>
    <w:rsid w:val="00891E77"/>
    <w:rsid w:val="0090299B"/>
    <w:rsid w:val="00910651"/>
    <w:rsid w:val="00914E9C"/>
    <w:rsid w:val="00944EA7"/>
    <w:rsid w:val="009B46D6"/>
    <w:rsid w:val="009B4FE6"/>
    <w:rsid w:val="009C6CCC"/>
    <w:rsid w:val="00A31400"/>
    <w:rsid w:val="00A37E15"/>
    <w:rsid w:val="00A8258D"/>
    <w:rsid w:val="00A965B4"/>
    <w:rsid w:val="00AA7A3D"/>
    <w:rsid w:val="00B24A77"/>
    <w:rsid w:val="00B436A9"/>
    <w:rsid w:val="00BA0394"/>
    <w:rsid w:val="00BD72AA"/>
    <w:rsid w:val="00BE3B50"/>
    <w:rsid w:val="00CA38C8"/>
    <w:rsid w:val="00D425BE"/>
    <w:rsid w:val="00D60AC5"/>
    <w:rsid w:val="00D716B9"/>
    <w:rsid w:val="00DA257D"/>
    <w:rsid w:val="00DD0E71"/>
    <w:rsid w:val="00DE524F"/>
    <w:rsid w:val="00DF2B46"/>
    <w:rsid w:val="00E113DD"/>
    <w:rsid w:val="00E22070"/>
    <w:rsid w:val="00E31342"/>
    <w:rsid w:val="00E76C5C"/>
    <w:rsid w:val="00EA4647"/>
    <w:rsid w:val="00EB6B81"/>
    <w:rsid w:val="00F40049"/>
    <w:rsid w:val="00F47615"/>
    <w:rsid w:val="00F47775"/>
    <w:rsid w:val="00F8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E0F31"/>
  <w15:chartTrackingRefBased/>
  <w15:docId w15:val="{A489AD6F-3D49-4653-8E5A-C6F6F027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37EE"/>
    <w:rPr>
      <w:rFonts w:ascii="Univers" w:hAnsi="Univers"/>
      <w:sz w:val="32"/>
    </w:rPr>
  </w:style>
  <w:style w:type="paragraph" w:styleId="Header">
    <w:name w:val="header"/>
    <w:basedOn w:val="Normal"/>
    <w:rsid w:val="006437EE"/>
    <w:pPr>
      <w:tabs>
        <w:tab w:val="center" w:pos="4320"/>
        <w:tab w:val="right" w:pos="8640"/>
      </w:tabs>
    </w:pPr>
  </w:style>
  <w:style w:type="paragraph" w:styleId="Footer">
    <w:name w:val="footer"/>
    <w:basedOn w:val="Normal"/>
    <w:rsid w:val="006437EE"/>
    <w:pPr>
      <w:tabs>
        <w:tab w:val="center" w:pos="4320"/>
        <w:tab w:val="right" w:pos="8640"/>
      </w:tabs>
    </w:pPr>
  </w:style>
  <w:style w:type="paragraph" w:styleId="BalloonText">
    <w:name w:val="Balloon Text"/>
    <w:basedOn w:val="Normal"/>
    <w:semiHidden/>
    <w:rsid w:val="002221A9"/>
    <w:rPr>
      <w:rFonts w:ascii="Tahoma" w:hAnsi="Tahoma" w:cs="Tahoma"/>
      <w:sz w:val="16"/>
      <w:szCs w:val="16"/>
    </w:rPr>
  </w:style>
  <w:style w:type="paragraph" w:customStyle="1" w:styleId="Default">
    <w:name w:val="Default"/>
    <w:rsid w:val="00F4761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23532">
      <w:bodyDiv w:val="1"/>
      <w:marLeft w:val="0"/>
      <w:marRight w:val="0"/>
      <w:marTop w:val="0"/>
      <w:marBottom w:val="0"/>
      <w:divBdr>
        <w:top w:val="none" w:sz="0" w:space="0" w:color="auto"/>
        <w:left w:val="none" w:sz="0" w:space="0" w:color="auto"/>
        <w:bottom w:val="none" w:sz="0" w:space="0" w:color="auto"/>
        <w:right w:val="none" w:sz="0" w:space="0" w:color="auto"/>
      </w:divBdr>
    </w:div>
    <w:div w:id="14109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Executive%20Office\Sacramento%20Legislative%20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S:\Templates\Executive Office\Sacramento Legislative Office.dotx</Template>
  <TotalTime>0</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Los Angeles County District Attorney</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Cyd Gordon</dc:creator>
  <cp:keywords/>
  <dc:description/>
  <cp:lastModifiedBy>Kayla Jimenez</cp:lastModifiedBy>
  <cp:revision>2</cp:revision>
  <cp:lastPrinted>2019-04-11T01:26:00Z</cp:lastPrinted>
  <dcterms:created xsi:type="dcterms:W3CDTF">2020-09-18T19:24:00Z</dcterms:created>
  <dcterms:modified xsi:type="dcterms:W3CDTF">2020-09-18T19:24:00Z</dcterms:modified>
</cp:coreProperties>
</file>